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center"/>
        <w:textAlignment w:val="auto"/>
        <w:rPr>
          <w:rFonts w:hint="eastAsia" w:ascii="宋体" w:hAnsi="宋体" w:eastAsia="宋体" w:cs="宋体"/>
          <w:spacing w:val="60"/>
          <w:sz w:val="32"/>
          <w:szCs w:val="32"/>
        </w:rPr>
      </w:pPr>
      <w:r>
        <w:rPr>
          <w:rFonts w:hint="eastAsia" w:ascii="宋体" w:hAnsi="宋体" w:eastAsia="宋体" w:cs="宋体"/>
          <w:sz w:val="32"/>
          <w:szCs w:val="32"/>
        </w:rPr>
        <w:t>宝陈农</w:t>
      </w:r>
      <w:r>
        <w:rPr>
          <w:rFonts w:hint="eastAsia" w:ascii="宋体" w:hAnsi="宋体" w:eastAsia="宋体" w:cs="宋体"/>
          <w:sz w:val="32"/>
          <w:szCs w:val="32"/>
          <w:lang w:eastAsia="zh-CN"/>
        </w:rPr>
        <w:t>发</w:t>
      </w:r>
      <w:r>
        <w:rPr>
          <w:rFonts w:hint="eastAsia" w:ascii="宋体" w:hAnsi="宋体" w:eastAsia="宋体" w:cs="宋体"/>
          <w:sz w:val="32"/>
          <w:szCs w:val="32"/>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2</w:t>
      </w:r>
      <w:r>
        <w:rPr>
          <w:rFonts w:hint="eastAsia" w:ascii="宋体" w:hAnsi="宋体" w:eastAsia="宋体" w:cs="宋体"/>
          <w:sz w:val="32"/>
          <w:szCs w:val="32"/>
        </w:rPr>
        <w:t>〕</w:t>
      </w:r>
      <w:r>
        <w:rPr>
          <w:rFonts w:hint="eastAsia" w:ascii="宋体" w:hAnsi="宋体" w:cs="宋体"/>
          <w:sz w:val="32"/>
          <w:szCs w:val="32"/>
          <w:lang w:val="en-US" w:eastAsia="zh-CN"/>
        </w:rPr>
        <w:t>57</w:t>
      </w:r>
      <w:r>
        <w:rPr>
          <w:rFonts w:hint="eastAsia" w:ascii="宋体" w:hAnsi="宋体" w:eastAsia="宋体" w:cs="宋体"/>
          <w:sz w:val="32"/>
          <w:szCs w:val="32"/>
        </w:rPr>
        <w:t>号</w:t>
      </w:r>
    </w:p>
    <w:p>
      <w:pPr>
        <w:keepNext w:val="0"/>
        <w:keepLines w:val="0"/>
        <w:pageBreakBefore w:val="0"/>
        <w:widowControl w:val="0"/>
        <w:kinsoku/>
        <w:wordWrap/>
        <w:overflowPunct/>
        <w:topLinePunct w:val="0"/>
        <w:autoSpaceDE/>
        <w:autoSpaceDN/>
        <w:bidi w:val="0"/>
        <w:adjustRightInd/>
        <w:snapToGrid w:val="0"/>
        <w:spacing w:line="440" w:lineRule="exact"/>
        <w:ind w:firstLine="2400" w:firstLineChars="500"/>
        <w:jc w:val="center"/>
        <w:textAlignment w:val="auto"/>
        <w:rPr>
          <w:rFonts w:hint="eastAsia" w:ascii="黑体" w:hAnsi="黑体" w:eastAsia="黑体"/>
          <w:spacing w:val="60"/>
          <w:sz w:val="36"/>
          <w:szCs w:val="36"/>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both"/>
        <w:textAlignment w:val="auto"/>
        <w:rPr>
          <w:rFonts w:hint="eastAsia" w:ascii="黑体" w:hAnsi="黑体" w:eastAsia="黑体" w:cs="黑体"/>
          <w:spacing w:val="60"/>
          <w:sz w:val="36"/>
          <w:szCs w:val="36"/>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eastAsia" w:ascii="黑体" w:hAnsi="黑体" w:eastAsia="黑体" w:cs="黑体"/>
          <w:sz w:val="36"/>
          <w:szCs w:val="36"/>
        </w:rPr>
      </w:pPr>
      <w:r>
        <w:rPr>
          <w:rFonts w:hint="eastAsia" w:ascii="黑体" w:hAnsi="黑体" w:eastAsia="黑体" w:cs="黑体"/>
          <w:sz w:val="36"/>
          <w:szCs w:val="36"/>
        </w:rPr>
        <w:t>宝鸡市陈仓区农业</w:t>
      </w:r>
      <w:r>
        <w:rPr>
          <w:rFonts w:hint="eastAsia" w:ascii="黑体" w:hAnsi="黑体" w:eastAsia="黑体" w:cs="黑体"/>
          <w:sz w:val="36"/>
          <w:szCs w:val="36"/>
          <w:lang w:eastAsia="zh-CN"/>
        </w:rPr>
        <w:t>农村</w:t>
      </w:r>
      <w:r>
        <w:rPr>
          <w:rFonts w:hint="eastAsia" w:ascii="黑体" w:hAnsi="黑体" w:eastAsia="黑体" w:cs="黑体"/>
          <w:sz w:val="36"/>
          <w:szCs w:val="36"/>
        </w:rPr>
        <w:t>局</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eastAsia" w:ascii="黑体" w:hAnsi="黑体" w:eastAsia="黑体" w:cs="黑体"/>
          <w:sz w:val="36"/>
          <w:szCs w:val="36"/>
          <w:lang w:eastAsia="zh-CN"/>
        </w:rPr>
      </w:pPr>
      <w:r>
        <w:rPr>
          <w:rFonts w:hint="eastAsia" w:ascii="黑体" w:hAnsi="黑体" w:eastAsia="黑体" w:cs="黑体"/>
          <w:sz w:val="36"/>
          <w:szCs w:val="36"/>
          <w:lang w:eastAsia="zh-CN"/>
        </w:rPr>
        <w:t>关于</w:t>
      </w:r>
      <w:r>
        <w:rPr>
          <w:rFonts w:hint="eastAsia" w:ascii="黑体" w:hAnsi="黑体" w:eastAsia="黑体" w:cs="黑体"/>
          <w:sz w:val="36"/>
          <w:szCs w:val="36"/>
          <w:lang w:val="en-US" w:eastAsia="zh-CN"/>
        </w:rPr>
        <w:t>2022年中省衔接资金</w:t>
      </w:r>
      <w:r>
        <w:rPr>
          <w:rFonts w:hint="eastAsia" w:ascii="黑体" w:hAnsi="黑体" w:eastAsia="黑体" w:cs="黑体"/>
          <w:sz w:val="36"/>
          <w:szCs w:val="36"/>
          <w:lang w:eastAsia="zh-CN"/>
        </w:rPr>
        <w:t>香泉镇王家庄村产业园</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eastAsia" w:ascii="黑体" w:hAnsi="黑体" w:eastAsia="黑体" w:cs="黑体"/>
          <w:sz w:val="36"/>
          <w:szCs w:val="36"/>
          <w:lang w:eastAsia="zh-CN"/>
        </w:rPr>
      </w:pPr>
      <w:r>
        <w:rPr>
          <w:rFonts w:hint="eastAsia" w:ascii="黑体" w:hAnsi="黑体" w:eastAsia="黑体" w:cs="黑体"/>
          <w:sz w:val="36"/>
          <w:szCs w:val="36"/>
          <w:lang w:eastAsia="zh-CN"/>
        </w:rPr>
        <w:t>基础设施配套建设项目实施方案的批复</w:t>
      </w: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center"/>
        <w:textAlignment w:val="auto"/>
        <w:rPr>
          <w:rFonts w:hint="eastAsia" w:ascii="黑体" w:hAnsi="黑体" w:eastAsia="黑体" w:cs="黑体"/>
          <w:sz w:val="36"/>
          <w:szCs w:val="36"/>
          <w:lang w:eastAsia="zh-CN"/>
        </w:rPr>
      </w:pPr>
    </w:p>
    <w:p>
      <w:pPr>
        <w:keepNext w:val="0"/>
        <w:keepLines w:val="0"/>
        <w:pageBreakBefore w:val="0"/>
        <w:widowControl w:val="0"/>
        <w:kinsoku/>
        <w:wordWrap/>
        <w:overflowPunct/>
        <w:topLinePunct w:val="0"/>
        <w:autoSpaceDE/>
        <w:autoSpaceDN/>
        <w:bidi w:val="0"/>
        <w:adjustRightInd/>
        <w:snapToGrid w:val="0"/>
        <w:spacing w:line="540" w:lineRule="exact"/>
        <w:ind w:firstLine="0" w:firstLineChars="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香泉镇人民政府</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sz w:val="32"/>
          <w:szCs w:val="32"/>
        </w:rPr>
        <w:t>你</w:t>
      </w:r>
      <w:r>
        <w:rPr>
          <w:rFonts w:hint="eastAsia" w:ascii="仿宋_GB2312" w:hAnsi="仿宋_GB2312" w:eastAsia="仿宋_GB2312" w:cs="仿宋_GB2312"/>
          <w:sz w:val="32"/>
          <w:szCs w:val="32"/>
          <w:lang w:eastAsia="zh-CN"/>
        </w:rPr>
        <w:t>镇上报的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关于上报</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中省衔接资金香泉镇王家庄村产业园基础设施配套项目实施方案的报告</w:t>
      </w:r>
      <w:r>
        <w:rPr>
          <w:rFonts w:hint="eastAsia" w:ascii="仿宋" w:hAnsi="仿宋" w:eastAsia="仿宋" w:cs="仿宋"/>
          <w:sz w:val="32"/>
          <w:szCs w:val="32"/>
        </w:rPr>
        <w:t>》(宝陈</w:t>
      </w:r>
      <w:r>
        <w:rPr>
          <w:rFonts w:hint="eastAsia" w:ascii="仿宋" w:hAnsi="仿宋" w:eastAsia="仿宋" w:cs="仿宋"/>
          <w:sz w:val="32"/>
          <w:szCs w:val="32"/>
          <w:lang w:eastAsia="zh-CN"/>
        </w:rPr>
        <w:t>香政发</w:t>
      </w:r>
      <w:r>
        <w:rPr>
          <w:rFonts w:hint="eastAsia" w:ascii="仿宋" w:hAnsi="仿宋" w:eastAsia="仿宋" w:cs="仿宋"/>
          <w:color w:val="000000"/>
          <w:sz w:val="32"/>
          <w:szCs w:val="32"/>
        </w:rPr>
        <w:t>〔</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82</w:t>
      </w:r>
      <w:r>
        <w:rPr>
          <w:rFonts w:hint="eastAsia" w:ascii="仿宋" w:hAnsi="仿宋" w:eastAsia="仿宋" w:cs="仿宋"/>
          <w:sz w:val="32"/>
          <w:szCs w:val="32"/>
        </w:rPr>
        <w:t>号</w:t>
      </w:r>
      <w:r>
        <w:rPr>
          <w:rFonts w:hint="eastAsia" w:ascii="仿宋" w:hAnsi="仿宋" w:eastAsia="仿宋" w:cs="仿宋"/>
          <w:sz w:val="32"/>
          <w:szCs w:val="32"/>
          <w:lang w:eastAsia="zh-CN"/>
        </w:rPr>
        <w:t>）</w:t>
      </w:r>
      <w:r>
        <w:rPr>
          <w:rFonts w:hint="eastAsia" w:ascii="仿宋" w:hAnsi="仿宋" w:eastAsia="仿宋" w:cs="仿宋"/>
          <w:sz w:val="32"/>
          <w:szCs w:val="32"/>
        </w:rPr>
        <w:t>收悉。</w:t>
      </w:r>
      <w:r>
        <w:rPr>
          <w:rFonts w:hint="eastAsia" w:ascii="仿宋" w:hAnsi="仿宋" w:eastAsia="仿宋" w:cs="仿宋"/>
          <w:sz w:val="32"/>
          <w:szCs w:val="32"/>
          <w:lang w:val="en-US" w:eastAsia="zh-CN"/>
        </w:rPr>
        <w:t>经4月19日宝鸡市陈仓区2022年财政专项资金项目评审会公开质询评审，该项目符合项目管理规定，同意你镇实施</w:t>
      </w:r>
      <w:r>
        <w:rPr>
          <w:rFonts w:hint="eastAsia" w:ascii="仿宋" w:hAnsi="仿宋" w:eastAsia="仿宋" w:cs="仿宋"/>
          <w:sz w:val="32"/>
          <w:szCs w:val="32"/>
        </w:rPr>
        <w:t>王家庄村产业园基础设施配套建设项目</w:t>
      </w:r>
      <w:r>
        <w:rPr>
          <w:rFonts w:hint="eastAsia" w:ascii="仿宋" w:hAnsi="仿宋" w:eastAsia="仿宋" w:cs="仿宋"/>
          <w:sz w:val="32"/>
          <w:szCs w:val="32"/>
          <w:lang w:val="en-US" w:eastAsia="zh-CN"/>
        </w:rPr>
        <w:t>，现批复如下：</w:t>
      </w:r>
    </w:p>
    <w:p>
      <w:pPr>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一、项目建设内容及规模</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建设地点及规模</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建设地点</w:t>
      </w:r>
      <w:r>
        <w:rPr>
          <w:rFonts w:hint="default" w:ascii="Times New Roman" w:hAnsi="Times New Roman" w:eastAsia="仿宋_GB2312" w:cs="Times New Roman"/>
          <w:sz w:val="32"/>
          <w:szCs w:val="32"/>
        </w:rPr>
        <w:t>位于香泉镇王家庄村白皮松产业园内。项目主要包括建设产业园灌溉设施、建设产业园水泥产业路、建设产业园生产用电</w:t>
      </w:r>
      <w:r>
        <w:rPr>
          <w:rFonts w:hint="eastAsia" w:ascii="Times New Roman" w:hAnsi="Times New Roman" w:eastAsia="仿宋_GB2312" w:cs="Times New Roman"/>
          <w:sz w:val="32"/>
          <w:szCs w:val="32"/>
          <w:lang w:eastAsia="zh-CN"/>
        </w:rPr>
        <w:t>设施</w:t>
      </w:r>
      <w:r>
        <w:rPr>
          <w:rFonts w:hint="default" w:ascii="Times New Roman" w:hAnsi="Times New Roman" w:eastAsia="仿宋_GB2312" w:cs="Times New Roman"/>
          <w:sz w:val="32"/>
          <w:szCs w:val="32"/>
        </w:rPr>
        <w:t>及库房晾晒场等相关配套设施。</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val="en-US" w:eastAsia="zh-CN"/>
        </w:rPr>
        <w:t>2.</w:t>
      </w:r>
      <w:r>
        <w:rPr>
          <w:rFonts w:hint="eastAsia" w:ascii="楷体" w:hAnsi="楷体" w:eastAsia="楷体" w:cs="楷体"/>
          <w:sz w:val="32"/>
          <w:szCs w:val="32"/>
        </w:rPr>
        <w:t>建设内容</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fldChar w:fldCharType="begin"/>
      </w:r>
      <w:r>
        <w:rPr>
          <w:rFonts w:hint="default" w:ascii="Times New Roman" w:hAnsi="Times New Roman" w:eastAsia="仿宋_GB2312" w:cs="Times New Roman"/>
          <w:sz w:val="32"/>
          <w:szCs w:val="32"/>
          <w:lang w:eastAsia="zh-CN"/>
        </w:rPr>
        <w:instrText xml:space="preserve"> = 1 \* GB3 \* MERGEFORMAT </w:instrText>
      </w:r>
      <w:r>
        <w:rPr>
          <w:rFonts w:hint="default" w:ascii="Times New Roman" w:hAnsi="Times New Roman" w:eastAsia="仿宋_GB2312" w:cs="Times New Roman"/>
          <w:sz w:val="32"/>
          <w:szCs w:val="32"/>
          <w:lang w:eastAsia="zh-CN"/>
        </w:rPr>
        <w:fldChar w:fldCharType="separate"/>
      </w:r>
      <w:r>
        <w:rPr>
          <w:rFonts w:hint="default" w:ascii="Times New Roman" w:hAnsi="Times New Roman" w:eastAsia="仿宋_GB2312" w:cs="Times New Roman"/>
          <w:sz w:val="32"/>
          <w:szCs w:val="32"/>
        </w:rPr>
        <w:t>①</w:t>
      </w:r>
      <w:r>
        <w:rPr>
          <w:rFonts w:hint="default" w:ascii="Times New Roman" w:hAnsi="Times New Roman" w:eastAsia="仿宋_GB2312" w:cs="Times New Roman"/>
          <w:sz w:val="32"/>
          <w:szCs w:val="32"/>
          <w:lang w:eastAsia="zh-CN"/>
        </w:rPr>
        <w:fldChar w:fldCharType="end"/>
      </w:r>
      <w:r>
        <w:rPr>
          <w:rFonts w:hint="default" w:ascii="Times New Roman" w:hAnsi="Times New Roman" w:eastAsia="仿宋_GB2312" w:cs="Times New Roman"/>
          <w:sz w:val="32"/>
          <w:szCs w:val="32"/>
        </w:rPr>
        <w:t>配套建设产业园灌溉设施。新建水源大口井一处，</w:t>
      </w:r>
      <w:r>
        <w:rPr>
          <w:rFonts w:hint="eastAsia" w:ascii="Times New Roman" w:hAnsi="Times New Roman" w:eastAsia="仿宋_GB2312" w:cs="Times New Roman"/>
          <w:sz w:val="32"/>
          <w:szCs w:val="32"/>
          <w:lang w:eastAsia="zh-CN"/>
        </w:rPr>
        <w:t>井外径</w:t>
      </w:r>
      <w:r>
        <w:rPr>
          <w:rFonts w:hint="eastAsia" w:ascii="Times New Roman" w:hAnsi="Times New Roman" w:eastAsia="仿宋_GB2312" w:cs="Times New Roman"/>
          <w:sz w:val="32"/>
          <w:szCs w:val="32"/>
          <w:lang w:val="en-US" w:eastAsia="zh-CN"/>
        </w:rPr>
        <w:t xml:space="preserve">3.5m，内径3.0m, </w:t>
      </w:r>
      <w:r>
        <w:rPr>
          <w:rFonts w:hint="eastAsia" w:ascii="Times New Roman" w:hAnsi="Times New Roman" w:eastAsia="仿宋_GB2312" w:cs="Times New Roman"/>
          <w:sz w:val="32"/>
          <w:szCs w:val="32"/>
          <w:lang w:eastAsia="zh-CN"/>
        </w:rPr>
        <w:t>深度</w:t>
      </w:r>
      <w:r>
        <w:rPr>
          <w:rFonts w:hint="eastAsia" w:ascii="Times New Roman" w:hAnsi="Times New Roman" w:eastAsia="仿宋_GB2312" w:cs="Times New Roman"/>
          <w:sz w:val="32"/>
          <w:szCs w:val="32"/>
          <w:lang w:val="en-US" w:eastAsia="zh-CN"/>
        </w:rPr>
        <w:t>10m，配套</w:t>
      </w:r>
      <w:r>
        <w:rPr>
          <w:rFonts w:hint="default" w:ascii="Times New Roman" w:hAnsi="Times New Roman" w:eastAsia="仿宋_GB2312" w:cs="Times New Roman"/>
          <w:sz w:val="32"/>
          <w:szCs w:val="32"/>
        </w:rPr>
        <w:t>200QJ20-108水泵</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套</w:t>
      </w:r>
      <w:r>
        <w:rPr>
          <w:rFonts w:hint="eastAsia" w:ascii="Times New Roman" w:hAnsi="Times New Roman" w:eastAsia="仿宋_GB2312" w:cs="Times New Roman"/>
          <w:sz w:val="32"/>
          <w:szCs w:val="32"/>
          <w:lang w:eastAsia="zh-CN"/>
        </w:rPr>
        <w:t>，3*6铜芯线</w:t>
      </w:r>
      <w:r>
        <w:rPr>
          <w:rFonts w:hint="eastAsia" w:ascii="Times New Roman" w:hAnsi="Times New Roman" w:eastAsia="仿宋_GB2312" w:cs="Times New Roman"/>
          <w:sz w:val="32"/>
          <w:szCs w:val="32"/>
          <w:lang w:val="en-US" w:eastAsia="zh-CN"/>
        </w:rPr>
        <w:t>360m</w:t>
      </w:r>
      <w:r>
        <w:rPr>
          <w:rFonts w:hint="default" w:ascii="Times New Roman" w:hAnsi="Times New Roman" w:eastAsia="仿宋_GB2312" w:cs="Times New Roman"/>
          <w:sz w:val="32"/>
          <w:szCs w:val="32"/>
        </w:rPr>
        <w:t>；新建</w:t>
      </w:r>
      <w:r>
        <w:rPr>
          <w:rFonts w:hint="default"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lang w:val="en-US" w:eastAsia="zh-CN"/>
        </w:rPr>
        <w:t>m³钢筋混凝土结构</w:t>
      </w:r>
      <w:r>
        <w:rPr>
          <w:rFonts w:hint="default" w:ascii="Times New Roman" w:hAnsi="Times New Roman" w:eastAsia="仿宋_GB2312" w:cs="Times New Roman"/>
          <w:sz w:val="32"/>
          <w:szCs w:val="32"/>
          <w:lang w:val="en-US" w:eastAsia="zh-CN"/>
        </w:rPr>
        <w:t>蓄水池3座</w:t>
      </w:r>
      <w:r>
        <w:rPr>
          <w:rFonts w:hint="default" w:ascii="Times New Roman" w:hAnsi="Times New Roman" w:eastAsia="仿宋_GB2312" w:cs="Times New Roman"/>
          <w:sz w:val="32"/>
          <w:szCs w:val="32"/>
        </w:rPr>
        <w:t>，铺设输水管</w:t>
      </w:r>
      <w:r>
        <w:rPr>
          <w:rFonts w:hint="eastAsia" w:ascii="Times New Roman" w:hAnsi="Times New Roman" w:eastAsia="仿宋_GB2312" w:cs="Times New Roman"/>
          <w:sz w:val="32"/>
          <w:szCs w:val="32"/>
          <w:lang w:val="en-US" w:eastAsia="zh-CN"/>
        </w:rPr>
        <w:t>φ</w:t>
      </w:r>
      <w:r>
        <w:rPr>
          <w:rFonts w:hint="default" w:ascii="Times New Roman" w:hAnsi="Times New Roman" w:eastAsia="仿宋_GB2312" w:cs="Times New Roman"/>
          <w:sz w:val="32"/>
          <w:szCs w:val="32"/>
        </w:rPr>
        <w:t>63</w:t>
      </w:r>
      <w:r>
        <w:rPr>
          <w:rFonts w:hint="eastAsia" w:ascii="Times New Roman" w:hAnsi="Times New Roman" w:eastAsia="仿宋_GB2312" w:cs="Times New Roman"/>
          <w:sz w:val="32"/>
          <w:szCs w:val="32"/>
          <w:lang w:val="en-US" w:eastAsia="zh-CN"/>
        </w:rPr>
        <w:t>PE塑料管</w:t>
      </w:r>
      <w:r>
        <w:rPr>
          <w:rFonts w:hint="default" w:ascii="Times New Roman" w:hAnsi="Times New Roman" w:eastAsia="仿宋_GB2312" w:cs="Times New Roman"/>
          <w:sz w:val="32"/>
          <w:szCs w:val="32"/>
        </w:rPr>
        <w:t>共3500m</w:t>
      </w:r>
      <w:r>
        <w:rPr>
          <w:rFonts w:hint="eastAsia" w:ascii="Times New Roman" w:hAnsi="Times New Roman" w:eastAsia="仿宋_GB2312" w:cs="Times New Roman"/>
          <w:sz w:val="32"/>
          <w:szCs w:val="32"/>
          <w:lang w:eastAsia="zh-CN"/>
        </w:rPr>
        <w:t>，出水口直径</w:t>
      </w:r>
      <w:r>
        <w:rPr>
          <w:rFonts w:hint="eastAsia" w:ascii="Times New Roman" w:hAnsi="Times New Roman" w:eastAsia="仿宋_GB2312" w:cs="Times New Roman"/>
          <w:sz w:val="32"/>
          <w:szCs w:val="32"/>
          <w:lang w:val="en-US" w:eastAsia="zh-CN"/>
        </w:rPr>
        <w:t>63mm</w:t>
      </w:r>
      <w:r>
        <w:rPr>
          <w:rFonts w:hint="default" w:ascii="Times New Roman" w:hAnsi="Times New Roman" w:eastAsia="仿宋_GB2312" w:cs="Times New Roman"/>
          <w:sz w:val="32"/>
          <w:szCs w:val="32"/>
        </w:rPr>
        <w:t>；阀门井</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座及配套设施</w:t>
      </w:r>
      <w:r>
        <w:rPr>
          <w:rFonts w:hint="eastAsia" w:ascii="Times New Roman" w:hAnsi="Times New Roman" w:eastAsia="仿宋_GB2312" w:cs="Times New Roman"/>
          <w:sz w:val="32"/>
          <w:szCs w:val="32"/>
          <w:lang w:eastAsia="zh-CN"/>
        </w:rPr>
        <w:t>，阀门井</w:t>
      </w:r>
      <w:r>
        <w:rPr>
          <w:rFonts w:hint="eastAsia" w:ascii="Times New Roman" w:hAnsi="Times New Roman" w:eastAsia="仿宋_GB2312" w:cs="Times New Roman"/>
          <w:sz w:val="32"/>
          <w:szCs w:val="32"/>
          <w:lang w:val="en-US" w:eastAsia="zh-CN"/>
        </w:rPr>
        <w:t>长1.28m,宽1.28m，</w:t>
      </w:r>
      <w:r>
        <w:rPr>
          <w:rFonts w:hint="eastAsia" w:ascii="Times New Roman" w:hAnsi="Times New Roman" w:eastAsia="仿宋_GB2312" w:cs="Times New Roman"/>
          <w:sz w:val="32"/>
          <w:szCs w:val="32"/>
          <w:lang w:eastAsia="zh-CN"/>
        </w:rPr>
        <w:t>深度</w:t>
      </w:r>
      <w:r>
        <w:rPr>
          <w:rFonts w:hint="eastAsia" w:ascii="Times New Roman" w:hAnsi="Times New Roman" w:eastAsia="仿宋_GB2312" w:cs="Times New Roman"/>
          <w:sz w:val="32"/>
          <w:szCs w:val="32"/>
          <w:lang w:val="en-US" w:eastAsia="zh-CN"/>
        </w:rPr>
        <w:t>1m,砖混结构，</w:t>
      </w:r>
      <w:r>
        <w:rPr>
          <w:rFonts w:hint="eastAsia" w:ascii="Times New Roman" w:hAnsi="Times New Roman" w:eastAsia="仿宋_GB2312" w:cs="Times New Roman"/>
          <w:sz w:val="32"/>
          <w:szCs w:val="32"/>
          <w:lang w:eastAsia="zh-CN"/>
        </w:rPr>
        <w:t>配套</w:t>
      </w:r>
      <w:r>
        <w:rPr>
          <w:rFonts w:hint="eastAsia" w:ascii="Times New Roman" w:hAnsi="Times New Roman" w:eastAsia="仿宋_GB2312" w:cs="Times New Roman"/>
          <w:sz w:val="32"/>
          <w:szCs w:val="32"/>
          <w:lang w:val="en-US" w:eastAsia="zh-CN"/>
        </w:rPr>
        <w:t>63闸阀7套</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fldChar w:fldCharType="begin"/>
      </w:r>
      <w:r>
        <w:rPr>
          <w:rFonts w:hint="default" w:ascii="Times New Roman" w:hAnsi="Times New Roman" w:eastAsia="仿宋_GB2312" w:cs="Times New Roman"/>
          <w:sz w:val="32"/>
          <w:szCs w:val="32"/>
          <w:lang w:eastAsia="zh-CN"/>
        </w:rPr>
        <w:instrText xml:space="preserve"> = 2 \* GB3 \* MERGEFORMAT </w:instrText>
      </w:r>
      <w:r>
        <w:rPr>
          <w:rFonts w:hint="default" w:ascii="Times New Roman" w:hAnsi="Times New Roman" w:eastAsia="仿宋_GB2312" w:cs="Times New Roman"/>
          <w:sz w:val="32"/>
          <w:szCs w:val="32"/>
          <w:lang w:eastAsia="zh-CN"/>
        </w:rPr>
        <w:fldChar w:fldCharType="separate"/>
      </w:r>
      <w:r>
        <w:rPr>
          <w:rFonts w:hint="default" w:ascii="Times New Roman" w:hAnsi="Times New Roman" w:eastAsia="仿宋_GB2312" w:cs="Times New Roman"/>
          <w:sz w:val="32"/>
          <w:szCs w:val="32"/>
        </w:rPr>
        <w:t>②</w:t>
      </w:r>
      <w:r>
        <w:rPr>
          <w:rFonts w:hint="default" w:ascii="Times New Roman" w:hAnsi="Times New Roman" w:eastAsia="仿宋_GB2312" w:cs="Times New Roman"/>
          <w:sz w:val="32"/>
          <w:szCs w:val="32"/>
          <w:lang w:eastAsia="zh-CN"/>
        </w:rPr>
        <w:fldChar w:fldCharType="end"/>
      </w:r>
      <w:r>
        <w:rPr>
          <w:rFonts w:hint="default" w:ascii="Times New Roman" w:hAnsi="Times New Roman" w:eastAsia="仿宋_GB2312" w:cs="Times New Roman"/>
          <w:sz w:val="32"/>
          <w:szCs w:val="32"/>
        </w:rPr>
        <w:t>配套建设产业园</w:t>
      </w:r>
      <w:r>
        <w:rPr>
          <w:rFonts w:hint="eastAsia" w:ascii="Times New Roman" w:hAnsi="Times New Roman" w:eastAsia="仿宋_GB2312" w:cs="Times New Roman"/>
          <w:sz w:val="32"/>
          <w:szCs w:val="32"/>
          <w:lang w:val="en-US" w:eastAsia="zh-CN"/>
        </w:rPr>
        <w:t>砂石</w:t>
      </w:r>
      <w:r>
        <w:rPr>
          <w:rFonts w:hint="default" w:ascii="Times New Roman" w:hAnsi="Times New Roman" w:eastAsia="仿宋_GB2312" w:cs="Times New Roman"/>
          <w:sz w:val="32"/>
          <w:szCs w:val="32"/>
        </w:rPr>
        <w:t>路。新修园区砂石生产道路全长2.6km，道路宽度为3.5m，厚度18</w:t>
      </w:r>
      <w:r>
        <w:rPr>
          <w:rFonts w:hint="eastAsia" w:ascii="Times New Roman" w:hAnsi="Times New Roman" w:eastAsia="仿宋_GB2312" w:cs="Times New Roman"/>
          <w:sz w:val="32"/>
          <w:szCs w:val="32"/>
          <w:lang w:val="en-US" w:eastAsia="zh-CN"/>
        </w:rPr>
        <w:t>cm</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路基宽度4.5m</w:t>
      </w:r>
      <w:r>
        <w:rPr>
          <w:rFonts w:hint="eastAsia" w:ascii="Times New Roman" w:hAnsi="Times New Roman" w:eastAsia="仿宋_GB2312" w:cs="Times New Roman"/>
          <w:sz w:val="32"/>
          <w:szCs w:val="32"/>
          <w:lang w:eastAsia="zh-CN"/>
        </w:rPr>
        <w:t>，其中包含</w:t>
      </w:r>
      <w:r>
        <w:rPr>
          <w:rFonts w:hint="default" w:ascii="Times New Roman" w:hAnsi="Times New Roman" w:eastAsia="仿宋_GB2312" w:cs="Times New Roman"/>
          <w:sz w:val="32"/>
          <w:szCs w:val="32"/>
          <w:lang w:eastAsia="zh-CN"/>
        </w:rPr>
        <w:t>土路肩2×0.5m</w:t>
      </w:r>
      <w:r>
        <w:rPr>
          <w:rFonts w:hint="eastAsia" w:ascii="Times New Roman" w:hAnsi="Times New Roman" w:eastAsia="仿宋_GB2312" w:cs="Times New Roman"/>
          <w:sz w:val="32"/>
          <w:szCs w:val="32"/>
          <w:lang w:eastAsia="zh-CN"/>
        </w:rPr>
        <w:t>，路面宽度</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.5m，</w:t>
      </w:r>
      <w:r>
        <w:rPr>
          <w:rFonts w:hint="eastAsia" w:ascii="Times New Roman" w:hAnsi="Times New Roman" w:eastAsia="仿宋_GB2312" w:cs="Times New Roman"/>
          <w:sz w:val="32"/>
          <w:szCs w:val="32"/>
          <w:lang w:val="en-US" w:eastAsia="zh-CN"/>
        </w:rPr>
        <w:t>路面为18cm天然砂砾面层</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fldChar w:fldCharType="begin"/>
      </w:r>
      <w:r>
        <w:rPr>
          <w:rFonts w:hint="default" w:ascii="Times New Roman" w:hAnsi="Times New Roman" w:eastAsia="仿宋_GB2312" w:cs="Times New Roman"/>
          <w:sz w:val="32"/>
          <w:szCs w:val="32"/>
          <w:lang w:eastAsia="zh-CN"/>
        </w:rPr>
        <w:instrText xml:space="preserve"> = 3 \* GB3 \* MERGEFORMAT </w:instrText>
      </w:r>
      <w:r>
        <w:rPr>
          <w:rFonts w:hint="default" w:ascii="Times New Roman" w:hAnsi="Times New Roman" w:eastAsia="仿宋_GB2312" w:cs="Times New Roman"/>
          <w:sz w:val="32"/>
          <w:szCs w:val="32"/>
          <w:lang w:eastAsia="zh-CN"/>
        </w:rPr>
        <w:fldChar w:fldCharType="separate"/>
      </w:r>
      <w:r>
        <w:rPr>
          <w:rFonts w:hint="default" w:ascii="Times New Roman" w:hAnsi="Times New Roman" w:eastAsia="仿宋_GB2312" w:cs="Times New Roman"/>
          <w:sz w:val="32"/>
          <w:szCs w:val="32"/>
        </w:rPr>
        <w:t>③</w:t>
      </w:r>
      <w:r>
        <w:rPr>
          <w:rFonts w:hint="default" w:ascii="Times New Roman" w:hAnsi="Times New Roman" w:eastAsia="仿宋_GB2312" w:cs="Times New Roman"/>
          <w:sz w:val="32"/>
          <w:szCs w:val="32"/>
          <w:lang w:eastAsia="zh-CN"/>
        </w:rPr>
        <w:fldChar w:fldCharType="end"/>
      </w:r>
      <w:r>
        <w:rPr>
          <w:rFonts w:hint="default" w:ascii="Times New Roman" w:hAnsi="Times New Roman" w:eastAsia="仿宋_GB2312" w:cs="Times New Roman"/>
          <w:sz w:val="32"/>
          <w:szCs w:val="32"/>
        </w:rPr>
        <w:t>配套建设产业园生产用电</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架设低压电缆1500m，10米高电杆20根，</w:t>
      </w:r>
      <w:r>
        <w:rPr>
          <w:rFonts w:hint="eastAsia" w:ascii="Times New Roman" w:hAnsi="Times New Roman" w:eastAsia="仿宋_GB2312" w:cs="Times New Roman"/>
          <w:sz w:val="32"/>
          <w:szCs w:val="32"/>
          <w:lang w:eastAsia="zh-CN"/>
        </w:rPr>
        <w:t>电杆</w:t>
      </w:r>
      <w:r>
        <w:rPr>
          <w:rFonts w:hint="eastAsia" w:ascii="Times New Roman" w:hAnsi="Times New Roman" w:eastAsia="仿宋_GB2312" w:cs="Times New Roman"/>
          <w:sz w:val="32"/>
          <w:szCs w:val="32"/>
          <w:lang w:val="en-US" w:eastAsia="zh-CN"/>
        </w:rPr>
        <w:t>梢径190mm,根径300mm；30KVA</w:t>
      </w:r>
      <w:r>
        <w:rPr>
          <w:rFonts w:hint="default" w:ascii="Times New Roman" w:hAnsi="Times New Roman" w:eastAsia="仿宋_GB2312" w:cs="Times New Roman"/>
          <w:sz w:val="32"/>
          <w:szCs w:val="32"/>
        </w:rPr>
        <w:t>变压器1台，</w:t>
      </w:r>
      <w:r>
        <w:rPr>
          <w:rFonts w:hint="eastAsia" w:ascii="Times New Roman" w:hAnsi="Times New Roman" w:eastAsia="仿宋_GB2312" w:cs="Times New Roman"/>
          <w:sz w:val="32"/>
          <w:szCs w:val="32"/>
          <w:lang w:eastAsia="zh-CN"/>
        </w:rPr>
        <w:t>变压器</w:t>
      </w:r>
      <w:r>
        <w:rPr>
          <w:rFonts w:hint="eastAsia" w:ascii="Times New Roman" w:hAnsi="Times New Roman" w:eastAsia="仿宋_GB2312" w:cs="Times New Roman"/>
          <w:sz w:val="32"/>
          <w:szCs w:val="32"/>
          <w:lang w:val="en-US" w:eastAsia="zh-CN"/>
        </w:rPr>
        <w:t>型号S11-M-30KVA，</w:t>
      </w:r>
      <w:r>
        <w:rPr>
          <w:rFonts w:hint="default" w:ascii="Times New Roman" w:hAnsi="Times New Roman" w:eastAsia="仿宋_GB2312" w:cs="Times New Roman"/>
          <w:sz w:val="32"/>
          <w:szCs w:val="32"/>
        </w:rPr>
        <w:t>配电柜</w:t>
      </w:r>
      <w:r>
        <w:rPr>
          <w:rFonts w:hint="eastAsia" w:ascii="Times New Roman" w:hAnsi="Times New Roman" w:eastAsia="仿宋_GB2312" w:cs="Times New Roman"/>
          <w:sz w:val="32"/>
          <w:szCs w:val="32"/>
          <w:lang w:val="en-US" w:eastAsia="zh-CN"/>
        </w:rPr>
        <w:t>1台</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fldChar w:fldCharType="begin"/>
      </w:r>
      <w:r>
        <w:rPr>
          <w:rFonts w:hint="default" w:ascii="Times New Roman" w:hAnsi="Times New Roman" w:eastAsia="仿宋_GB2312" w:cs="Times New Roman"/>
          <w:sz w:val="32"/>
          <w:szCs w:val="32"/>
          <w:lang w:eastAsia="zh-CN"/>
        </w:rPr>
        <w:instrText xml:space="preserve"> = 4 \* GB3 \* MERGEFORMAT </w:instrText>
      </w:r>
      <w:r>
        <w:rPr>
          <w:rFonts w:hint="default" w:ascii="Times New Roman" w:hAnsi="Times New Roman" w:eastAsia="仿宋_GB2312" w:cs="Times New Roman"/>
          <w:sz w:val="32"/>
          <w:szCs w:val="32"/>
          <w:lang w:eastAsia="zh-CN"/>
        </w:rPr>
        <w:fldChar w:fldCharType="separate"/>
      </w:r>
      <w:r>
        <w:rPr>
          <w:rFonts w:hint="default" w:ascii="Times New Roman" w:hAnsi="Times New Roman" w:eastAsia="仿宋_GB2312" w:cs="Times New Roman"/>
          <w:sz w:val="32"/>
          <w:szCs w:val="32"/>
        </w:rPr>
        <w:t>④</w:t>
      </w:r>
      <w:r>
        <w:rPr>
          <w:rFonts w:hint="default" w:ascii="Times New Roman" w:hAnsi="Times New Roman" w:eastAsia="仿宋_GB2312" w:cs="Times New Roman"/>
          <w:sz w:val="32"/>
          <w:szCs w:val="32"/>
          <w:lang w:eastAsia="zh-CN"/>
        </w:rPr>
        <w:fldChar w:fldCharType="end"/>
      </w:r>
      <w:r>
        <w:rPr>
          <w:rFonts w:hint="default" w:ascii="Times New Roman" w:hAnsi="Times New Roman" w:eastAsia="仿宋_GB2312" w:cs="Times New Roman"/>
          <w:sz w:val="32"/>
          <w:szCs w:val="32"/>
        </w:rPr>
        <w:t>新建</w:t>
      </w:r>
      <w:r>
        <w:rPr>
          <w:rFonts w:hint="eastAsia" w:eastAsia="仿宋_GB2312" w:cs="Times New Roman"/>
          <w:sz w:val="32"/>
          <w:szCs w:val="32"/>
          <w:lang w:eastAsia="zh-CN"/>
        </w:rPr>
        <w:t>仓储用</w:t>
      </w:r>
      <w:r>
        <w:rPr>
          <w:rFonts w:hint="default" w:ascii="Times New Roman" w:hAnsi="Times New Roman" w:eastAsia="仿宋_GB2312" w:cs="Times New Roman"/>
          <w:sz w:val="32"/>
          <w:szCs w:val="32"/>
        </w:rPr>
        <w:t>房</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间</w:t>
      </w:r>
      <w:r>
        <w:rPr>
          <w:rFonts w:hint="eastAsia" w:ascii="Times New Roman" w:hAnsi="Times New Roman" w:eastAsia="仿宋_GB2312" w:cs="Times New Roman"/>
          <w:sz w:val="32"/>
          <w:szCs w:val="32"/>
          <w:lang w:eastAsia="zh-CN"/>
        </w:rPr>
        <w:t>共</w:t>
      </w:r>
      <w:r>
        <w:rPr>
          <w:rFonts w:hint="default" w:ascii="Times New Roman" w:hAnsi="Times New Roman" w:eastAsia="仿宋_GB2312" w:cs="Times New Roman"/>
          <w:sz w:val="32"/>
          <w:szCs w:val="32"/>
        </w:rPr>
        <w:t>200m²，</w:t>
      </w:r>
      <w:r>
        <w:rPr>
          <w:rFonts w:hint="eastAsia" w:ascii="Times New Roman" w:hAnsi="Times New Roman" w:eastAsia="仿宋_GB2312" w:cs="Times New Roman"/>
          <w:sz w:val="32"/>
          <w:szCs w:val="32"/>
          <w:lang w:eastAsia="zh-CN"/>
        </w:rPr>
        <w:t>每间</w:t>
      </w:r>
      <w:r>
        <w:rPr>
          <w:rFonts w:hint="eastAsia"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rPr>
        <w:t>库</w:t>
      </w:r>
      <w:r>
        <w:rPr>
          <w:rFonts w:hint="eastAsia" w:ascii="Times New Roman" w:hAnsi="Times New Roman" w:eastAsia="仿宋_GB2312" w:cs="Times New Roman"/>
          <w:sz w:val="32"/>
          <w:szCs w:val="32"/>
          <w:lang w:eastAsia="zh-CN"/>
        </w:rPr>
        <w:t>房</w:t>
      </w:r>
      <w:r>
        <w:rPr>
          <w:rFonts w:hint="default" w:ascii="Times New Roman" w:hAnsi="Times New Roman" w:eastAsia="仿宋_GB2312" w:cs="Times New Roman"/>
          <w:sz w:val="32"/>
          <w:szCs w:val="32"/>
        </w:rPr>
        <w:t>1座200m²</w:t>
      </w:r>
      <w:r>
        <w:rPr>
          <w:rFonts w:hint="eastAsia" w:ascii="Times New Roman" w:hAnsi="Times New Roman" w:eastAsia="仿宋_GB2312" w:cs="Times New Roman"/>
          <w:sz w:val="32"/>
          <w:szCs w:val="32"/>
          <w:lang w:eastAsia="zh-CN"/>
        </w:rPr>
        <w:t>，长</w:t>
      </w:r>
      <w:r>
        <w:rPr>
          <w:rFonts w:hint="eastAsia" w:ascii="Times New Roman" w:hAnsi="Times New Roman" w:eastAsia="仿宋_GB2312" w:cs="Times New Roman"/>
          <w:sz w:val="32"/>
          <w:szCs w:val="32"/>
          <w:lang w:val="en-US" w:eastAsia="zh-CN"/>
        </w:rPr>
        <w:t>20m，</w:t>
      </w:r>
      <w:r>
        <w:rPr>
          <w:rFonts w:hint="eastAsia" w:ascii="Times New Roman" w:hAnsi="Times New Roman" w:eastAsia="仿宋_GB2312" w:cs="Times New Roman"/>
          <w:sz w:val="32"/>
          <w:szCs w:val="32"/>
          <w:lang w:eastAsia="zh-CN"/>
        </w:rPr>
        <w:t>宽</w:t>
      </w:r>
      <w:r>
        <w:rPr>
          <w:rFonts w:hint="eastAsia" w:ascii="Times New Roman" w:hAnsi="Times New Roman" w:eastAsia="仿宋_GB2312" w:cs="Times New Roman"/>
          <w:sz w:val="32"/>
          <w:szCs w:val="32"/>
          <w:lang w:val="en-US" w:eastAsia="zh-CN"/>
        </w:rPr>
        <w:t>10m</w:t>
      </w:r>
      <w:r>
        <w:rPr>
          <w:rFonts w:hint="default" w:ascii="Times New Roman" w:hAnsi="Times New Roman" w:eastAsia="仿宋_GB2312" w:cs="Times New Roman"/>
          <w:sz w:val="32"/>
          <w:szCs w:val="32"/>
        </w:rPr>
        <w:t>；机械停放及花椒晾晒场一处200m²</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长</w:t>
      </w:r>
      <w:r>
        <w:rPr>
          <w:rFonts w:hint="eastAsia" w:ascii="Times New Roman" w:hAnsi="Times New Roman" w:eastAsia="仿宋_GB2312" w:cs="Times New Roman"/>
          <w:sz w:val="32"/>
          <w:szCs w:val="32"/>
          <w:lang w:val="en-US" w:eastAsia="zh-CN"/>
        </w:rPr>
        <w:t>20m</w:t>
      </w:r>
      <w:r>
        <w:rPr>
          <w:rFonts w:hint="eastAsia" w:ascii="Times New Roman" w:hAnsi="Times New Roman" w:eastAsia="仿宋_GB2312" w:cs="Times New Roman"/>
          <w:sz w:val="32"/>
          <w:szCs w:val="32"/>
          <w:lang w:eastAsia="zh-CN"/>
        </w:rPr>
        <w:t>宽</w:t>
      </w:r>
      <w:r>
        <w:rPr>
          <w:rFonts w:hint="eastAsia" w:ascii="Times New Roman" w:hAnsi="Times New Roman" w:eastAsia="仿宋_GB2312" w:cs="Times New Roman"/>
          <w:sz w:val="32"/>
          <w:szCs w:val="32"/>
          <w:lang w:val="en-US" w:eastAsia="zh-CN"/>
        </w:rPr>
        <w:t>10m</w:t>
      </w:r>
      <w:r>
        <w:rPr>
          <w:rFonts w:hint="default" w:ascii="Times New Roman" w:hAnsi="Times New Roman" w:eastAsia="仿宋_GB2312" w:cs="Times New Roman"/>
          <w:sz w:val="32"/>
          <w:szCs w:val="32"/>
        </w:rPr>
        <w:t>；购置手扶微耕机1台</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180柴油水冷+转向器+电启动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手扶拖拉机1台</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18</w:t>
      </w:r>
      <w:r>
        <w:rPr>
          <w:rFonts w:hint="eastAsia" w:ascii="Times New Roman" w:hAnsi="Times New Roman" w:eastAsia="仿宋_GB2312" w:cs="Times New Roman"/>
          <w:sz w:val="32"/>
          <w:szCs w:val="32"/>
          <w:lang w:eastAsia="zh-CN"/>
        </w:rPr>
        <w:t>马力）；电动</w:t>
      </w:r>
      <w:r>
        <w:rPr>
          <w:rFonts w:hint="default" w:ascii="Times New Roman" w:hAnsi="Times New Roman" w:eastAsia="仿宋_GB2312" w:cs="Times New Roman"/>
          <w:sz w:val="32"/>
          <w:szCs w:val="32"/>
        </w:rPr>
        <w:t>打药设备一套</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动力170，300L+30+30m两把喷枪</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val="en-US" w:eastAsia="zh-CN"/>
        </w:rPr>
        <w:t>3.</w:t>
      </w:r>
      <w:r>
        <w:rPr>
          <w:rFonts w:hint="eastAsia" w:ascii="楷体" w:hAnsi="楷体" w:eastAsia="楷体" w:cs="楷体"/>
          <w:sz w:val="32"/>
          <w:szCs w:val="32"/>
        </w:rPr>
        <w:t>投资估算</w:t>
      </w:r>
    </w:p>
    <w:tbl>
      <w:tblPr>
        <w:tblStyle w:val="6"/>
        <w:tblW w:w="938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
        <w:gridCol w:w="694"/>
        <w:gridCol w:w="1099"/>
        <w:gridCol w:w="1545"/>
        <w:gridCol w:w="768"/>
        <w:gridCol w:w="768"/>
        <w:gridCol w:w="1176"/>
        <w:gridCol w:w="1296"/>
        <w:gridCol w:w="1587"/>
        <w:gridCol w:w="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4" w:type="dxa"/>
          <w:trHeight w:val="615" w:hRule="atLeast"/>
        </w:trPr>
        <w:tc>
          <w:tcPr>
            <w:tcW w:w="9380" w:type="dxa"/>
            <w:gridSpan w:val="9"/>
            <w:tcBorders>
              <w:top w:val="nil"/>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540" w:lineRule="exact"/>
              <w:ind w:left="0" w:leftChars="0" w:firstLine="1920" w:firstLineChars="600"/>
              <w:textAlignment w:val="auto"/>
              <w:rPr>
                <w:rFonts w:hint="default"/>
              </w:rPr>
            </w:pPr>
            <w:r>
              <w:rPr>
                <w:rFonts w:hint="default" w:ascii="Times New Roman" w:hAnsi="Times New Roman" w:eastAsia="仿宋_GB2312" w:cs="Times New Roman"/>
                <w:sz w:val="32"/>
                <w:szCs w:val="32"/>
                <w:lang w:val="en-US" w:eastAsia="zh-CN"/>
              </w:rPr>
              <w:t>香泉镇王家庄村产业园基础设施配套项目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47" w:type="dxa"/>
          <w:trHeight w:val="643" w:hRule="atLeast"/>
        </w:trPr>
        <w:tc>
          <w:tcPr>
            <w:tcW w:w="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序号</w:t>
            </w:r>
          </w:p>
        </w:tc>
        <w:tc>
          <w:tcPr>
            <w:tcW w:w="10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建设内容</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工程名称</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单位</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数量</w:t>
            </w:r>
          </w:p>
        </w:tc>
        <w:tc>
          <w:tcPr>
            <w:tcW w:w="1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单价（元）</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金额（元）</w:t>
            </w:r>
          </w:p>
        </w:tc>
        <w:tc>
          <w:tcPr>
            <w:tcW w:w="15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合计（元）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47" w:type="dxa"/>
          <w:trHeight w:val="757" w:hRule="atLeast"/>
        </w:trPr>
        <w:tc>
          <w:tcPr>
            <w:tcW w:w="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1</w:t>
            </w:r>
          </w:p>
        </w:tc>
        <w:tc>
          <w:tcPr>
            <w:tcW w:w="109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产业园灌溉设施</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新建大口井</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口</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1</w:t>
            </w:r>
          </w:p>
        </w:tc>
        <w:tc>
          <w:tcPr>
            <w:tcW w:w="1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40251.07</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40251.07</w:t>
            </w:r>
          </w:p>
        </w:tc>
        <w:tc>
          <w:tcPr>
            <w:tcW w:w="158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576684.96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47" w:type="dxa"/>
          <w:trHeight w:val="643" w:hRule="atLeast"/>
        </w:trPr>
        <w:tc>
          <w:tcPr>
            <w:tcW w:w="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2</w:t>
            </w:r>
          </w:p>
        </w:tc>
        <w:tc>
          <w:tcPr>
            <w:tcW w:w="109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100m3蓄水池</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座</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3</w:t>
            </w:r>
          </w:p>
        </w:tc>
        <w:tc>
          <w:tcPr>
            <w:tcW w:w="1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97168.78</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291506.34</w:t>
            </w:r>
          </w:p>
        </w:tc>
        <w:tc>
          <w:tcPr>
            <w:tcW w:w="158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default"/>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47" w:type="dxa"/>
          <w:trHeight w:val="735" w:hRule="atLeast"/>
        </w:trPr>
        <w:tc>
          <w:tcPr>
            <w:tcW w:w="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4</w:t>
            </w:r>
          </w:p>
        </w:tc>
        <w:tc>
          <w:tcPr>
            <w:tcW w:w="109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DN63PE管</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m</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3500</w:t>
            </w:r>
          </w:p>
        </w:tc>
        <w:tc>
          <w:tcPr>
            <w:tcW w:w="1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68.35</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239225</w:t>
            </w:r>
          </w:p>
        </w:tc>
        <w:tc>
          <w:tcPr>
            <w:tcW w:w="158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47" w:type="dxa"/>
          <w:trHeight w:val="577" w:hRule="atLeast"/>
        </w:trPr>
        <w:tc>
          <w:tcPr>
            <w:tcW w:w="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5</w:t>
            </w:r>
          </w:p>
        </w:tc>
        <w:tc>
          <w:tcPr>
            <w:tcW w:w="109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阀门井</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座</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7</w:t>
            </w:r>
          </w:p>
        </w:tc>
        <w:tc>
          <w:tcPr>
            <w:tcW w:w="1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814.65</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5702.55</w:t>
            </w:r>
          </w:p>
        </w:tc>
        <w:tc>
          <w:tcPr>
            <w:tcW w:w="158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47" w:type="dxa"/>
          <w:trHeight w:val="738" w:hRule="atLeast"/>
        </w:trPr>
        <w:tc>
          <w:tcPr>
            <w:tcW w:w="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6</w:t>
            </w:r>
          </w:p>
        </w:tc>
        <w:tc>
          <w:tcPr>
            <w:tcW w:w="10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产业园砂石路</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砂石路</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9100</w:t>
            </w:r>
          </w:p>
        </w:tc>
        <w:tc>
          <w:tcPr>
            <w:tcW w:w="1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35.35</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321685</w:t>
            </w:r>
          </w:p>
        </w:tc>
        <w:tc>
          <w:tcPr>
            <w:tcW w:w="15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321685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47" w:type="dxa"/>
          <w:trHeight w:val="1088" w:hRule="atLeast"/>
        </w:trPr>
        <w:tc>
          <w:tcPr>
            <w:tcW w:w="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8</w:t>
            </w:r>
          </w:p>
        </w:tc>
        <w:tc>
          <w:tcPr>
            <w:tcW w:w="10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产业园生产用电</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电缆线及配套设施</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套</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1</w:t>
            </w:r>
          </w:p>
        </w:tc>
        <w:tc>
          <w:tcPr>
            <w:tcW w:w="1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99000</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99000</w:t>
            </w:r>
          </w:p>
        </w:tc>
        <w:tc>
          <w:tcPr>
            <w:tcW w:w="15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99000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47" w:type="dxa"/>
          <w:trHeight w:val="577" w:hRule="atLeast"/>
        </w:trPr>
        <w:tc>
          <w:tcPr>
            <w:tcW w:w="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9</w:t>
            </w:r>
          </w:p>
        </w:tc>
        <w:tc>
          <w:tcPr>
            <w:tcW w:w="109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产业园生产用房及农用设施</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200m2管理房</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200</w:t>
            </w:r>
          </w:p>
        </w:tc>
        <w:tc>
          <w:tcPr>
            <w:tcW w:w="1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1200</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240000</w:t>
            </w:r>
          </w:p>
        </w:tc>
        <w:tc>
          <w:tcPr>
            <w:tcW w:w="158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506034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47" w:type="dxa"/>
          <w:trHeight w:val="643" w:hRule="atLeast"/>
        </w:trPr>
        <w:tc>
          <w:tcPr>
            <w:tcW w:w="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10</w:t>
            </w:r>
          </w:p>
        </w:tc>
        <w:tc>
          <w:tcPr>
            <w:tcW w:w="109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200m2库房</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200</w:t>
            </w:r>
          </w:p>
        </w:tc>
        <w:tc>
          <w:tcPr>
            <w:tcW w:w="1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1060</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212000</w:t>
            </w:r>
          </w:p>
        </w:tc>
        <w:tc>
          <w:tcPr>
            <w:tcW w:w="158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47" w:type="dxa"/>
          <w:trHeight w:val="738" w:hRule="atLeast"/>
        </w:trPr>
        <w:tc>
          <w:tcPr>
            <w:tcW w:w="6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11</w:t>
            </w:r>
          </w:p>
        </w:tc>
        <w:tc>
          <w:tcPr>
            <w:tcW w:w="109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花椒晾晒场及机械停放场</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200</w:t>
            </w:r>
          </w:p>
        </w:tc>
        <w:tc>
          <w:tcPr>
            <w:tcW w:w="1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110.17</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22034</w:t>
            </w:r>
          </w:p>
        </w:tc>
        <w:tc>
          <w:tcPr>
            <w:tcW w:w="158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47" w:type="dxa"/>
          <w:trHeight w:val="645" w:hRule="atLeast"/>
        </w:trPr>
        <w:tc>
          <w:tcPr>
            <w:tcW w:w="698"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12</w:t>
            </w:r>
          </w:p>
        </w:tc>
        <w:tc>
          <w:tcPr>
            <w:tcW w:w="109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c>
          <w:tcPr>
            <w:tcW w:w="15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耕作机械及打药设备</w:t>
            </w:r>
          </w:p>
        </w:tc>
        <w:tc>
          <w:tcPr>
            <w:tcW w:w="76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套</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lang w:val="en-US" w:eastAsia="zh-CN"/>
              </w:rPr>
            </w:pPr>
            <w:r>
              <w:rPr>
                <w:rFonts w:hint="eastAsia"/>
                <w:lang w:val="en-US" w:eastAsia="zh-CN"/>
              </w:rPr>
              <w:t>1</w:t>
            </w:r>
          </w:p>
        </w:tc>
        <w:tc>
          <w:tcPr>
            <w:tcW w:w="1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32000</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32000</w:t>
            </w:r>
          </w:p>
        </w:tc>
        <w:tc>
          <w:tcPr>
            <w:tcW w:w="158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47" w:type="dxa"/>
          <w:trHeight w:val="663" w:hRule="atLeast"/>
        </w:trPr>
        <w:tc>
          <w:tcPr>
            <w:tcW w:w="698"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default"/>
              </w:rPr>
            </w:pPr>
          </w:p>
        </w:tc>
        <w:tc>
          <w:tcPr>
            <w:tcW w:w="2644"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合计</w:t>
            </w:r>
          </w:p>
        </w:tc>
        <w:tc>
          <w:tcPr>
            <w:tcW w:w="76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default"/>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c>
          <w:tcPr>
            <w:tcW w:w="117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p>
        </w:tc>
        <w:tc>
          <w:tcPr>
            <w:tcW w:w="15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rPr>
            </w:pPr>
            <w:r>
              <w:rPr>
                <w:rFonts w:hint="eastAsia"/>
                <w:lang w:val="en-US" w:eastAsia="zh-CN"/>
              </w:rPr>
              <w:t>1503403.96</w:t>
            </w:r>
          </w:p>
        </w:tc>
      </w:tr>
    </w:tbl>
    <w:p>
      <w:pPr>
        <w:keepNext w:val="0"/>
        <w:keepLines w:val="0"/>
        <w:pageBreakBefore w:val="0"/>
        <w:widowControl w:val="0"/>
        <w:numPr>
          <w:ilvl w:val="0"/>
          <w:numId w:val="1"/>
        </w:numPr>
        <w:kinsoku/>
        <w:wordWrap/>
        <w:overflowPunct/>
        <w:topLinePunct w:val="0"/>
        <w:autoSpaceDE/>
        <w:autoSpaceDN/>
        <w:bidi w:val="0"/>
        <w:adjustRightInd/>
        <w:spacing w:line="54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项目资金来源</w:t>
      </w:r>
    </w:p>
    <w:p>
      <w:pPr>
        <w:keepNext w:val="0"/>
        <w:keepLines w:val="0"/>
        <w:pageBreakBefore w:val="0"/>
        <w:widowControl w:val="0"/>
        <w:numPr>
          <w:ilvl w:val="0"/>
          <w:numId w:val="0"/>
        </w:numPr>
        <w:kinsoku/>
        <w:wordWrap/>
        <w:overflowPunct/>
        <w:topLinePunct w:val="0"/>
        <w:autoSpaceDE/>
        <w:autoSpaceDN/>
        <w:bidi w:val="0"/>
        <w:adjustRightInd/>
        <w:spacing w:line="540" w:lineRule="exact"/>
        <w:ind w:leftChars="200" w:firstLine="320" w:firstLineChars="100"/>
        <w:textAlignment w:val="auto"/>
        <w:rPr>
          <w:rFonts w:hint="eastAsia" w:ascii="仿宋_GB2312" w:hAnsi="仿宋" w:eastAsia="仿宋_GB2312" w:cs="宋体"/>
          <w:sz w:val="32"/>
          <w:szCs w:val="32"/>
          <w:lang w:eastAsia="zh-CN"/>
        </w:rPr>
      </w:pPr>
      <w:r>
        <w:rPr>
          <w:rFonts w:hint="eastAsia" w:ascii="仿宋_GB2312" w:hAnsi="仿宋" w:eastAsia="仿宋_GB2312" w:cs="宋体"/>
          <w:sz w:val="32"/>
          <w:szCs w:val="32"/>
        </w:rPr>
        <w:t>项目总投资</w:t>
      </w:r>
      <w:r>
        <w:rPr>
          <w:rFonts w:hint="eastAsia" w:ascii="仿宋_GB2312" w:hAnsi="仿宋" w:eastAsia="仿宋_GB2312" w:cs="宋体"/>
          <w:sz w:val="32"/>
          <w:szCs w:val="32"/>
          <w:lang w:val="en-US" w:eastAsia="zh-CN"/>
        </w:rPr>
        <w:t>150</w:t>
      </w:r>
      <w:r>
        <w:rPr>
          <w:rFonts w:hint="eastAsia" w:ascii="仿宋_GB2312" w:hAnsi="仿宋" w:eastAsia="仿宋_GB2312" w:cs="宋体"/>
          <w:sz w:val="32"/>
          <w:szCs w:val="32"/>
        </w:rPr>
        <w:t>万元，</w:t>
      </w:r>
      <w:r>
        <w:rPr>
          <w:rFonts w:hint="eastAsia" w:ascii="仿宋_GB2312" w:hAnsi="仿宋" w:eastAsia="仿宋_GB2312" w:cs="宋体"/>
          <w:sz w:val="32"/>
          <w:szCs w:val="32"/>
          <w:lang w:eastAsia="zh-CN"/>
        </w:rPr>
        <w:t>全部为中央级财政衔接补助资金。</w:t>
      </w:r>
    </w:p>
    <w:p>
      <w:pPr>
        <w:pStyle w:val="2"/>
        <w:numPr>
          <w:ilvl w:val="0"/>
          <w:numId w:val="2"/>
        </w:numPr>
        <w:ind w:firstLine="640" w:firstLineChars="200"/>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项目招投标方式</w:t>
      </w:r>
    </w:p>
    <w:p>
      <w:pPr>
        <w:pStyle w:val="2"/>
        <w:numPr>
          <w:ilvl w:val="0"/>
          <w:numId w:val="0"/>
        </w:numPr>
        <w:ind w:firstLine="640" w:firstLineChars="200"/>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项目以竞争性磋商方式进行实施。</w:t>
      </w:r>
    </w:p>
    <w:p>
      <w:pPr>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四、项目实施要求</w:t>
      </w: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sz w:val="32"/>
          <w:szCs w:val="32"/>
        </w:rPr>
      </w:pPr>
      <w:r>
        <w:rPr>
          <w:rFonts w:hint="eastAsia" w:ascii="仿宋" w:hAnsi="仿宋" w:eastAsia="仿宋" w:cs="仿宋"/>
          <w:sz w:val="32"/>
          <w:szCs w:val="32"/>
          <w:lang w:eastAsia="zh-CN"/>
        </w:rPr>
        <w:t xml:space="preserve"> </w:t>
      </w:r>
      <w:r>
        <w:rPr>
          <w:rFonts w:hint="eastAsia" w:ascii="楷体" w:hAnsi="楷体" w:eastAsia="楷体" w:cs="楷体"/>
          <w:sz w:val="32"/>
          <w:szCs w:val="32"/>
        </w:rPr>
        <w:t>1.夯实责任，加强项目实施管理。</w:t>
      </w:r>
      <w:r>
        <w:rPr>
          <w:rFonts w:hint="eastAsia" w:ascii="仿宋_GB2312" w:hAnsi="仿宋_GB2312" w:eastAsia="仿宋_GB2312" w:cs="仿宋_GB2312"/>
          <w:sz w:val="32"/>
          <w:szCs w:val="32"/>
        </w:rPr>
        <w:t>项目镇街要切实落实项目实施主体责任，按照省市区财政衔接资金项目管理办法及实施要求，严格落实项目招投标、公示公告等制度，</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施工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监理、资料整理、验收审计等</w:t>
      </w:r>
      <w:r>
        <w:rPr>
          <w:rFonts w:hint="eastAsia" w:ascii="仿宋_GB2312" w:hAnsi="仿宋_GB2312" w:eastAsia="仿宋_GB2312" w:cs="仿宋_GB2312"/>
          <w:sz w:val="32"/>
          <w:szCs w:val="32"/>
          <w:lang w:eastAsia="zh-CN"/>
        </w:rPr>
        <w:t>全过程实行规范化管理制度。</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2.规范管理，管好用好项目资金。</w:t>
      </w:r>
      <w:r>
        <w:rPr>
          <w:rFonts w:hint="eastAsia" w:ascii="仿宋_GB2312" w:hAnsi="仿宋_GB2312" w:eastAsia="仿宋_GB2312" w:cs="仿宋_GB2312"/>
          <w:sz w:val="32"/>
          <w:szCs w:val="32"/>
        </w:rPr>
        <w:t>按照区财政局、区乡村振兴局等六部门《关于印发&lt;宝鸡市陈仓区财政衔接推进乡村振兴补助资金管理办法&gt;的通知》（宝陈财农字〔2021〕38号）要求，加强项目资金管理，落实资金报账制度，规范报账审核程序。加强项目绩效目标管理，切实做好项目绩效目标事前申报、事中监控、事后评价等工作，确保充分发挥财政衔接资金作用。</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3.加强协调，确保按期完成项目建设任务。</w:t>
      </w:r>
      <w:r>
        <w:rPr>
          <w:rFonts w:hint="eastAsia" w:ascii="仿宋_GB2312" w:hAnsi="仿宋_GB2312" w:eastAsia="仿宋_GB2312" w:cs="仿宋_GB2312"/>
          <w:sz w:val="32"/>
          <w:szCs w:val="32"/>
        </w:rPr>
        <w:t>项目镇街要加强实施组织协调，充分调动设计、施工、监理及项目村积极性，为项目落实施工提供有力保障，确保202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年11月底前完成项目建设任务、资金兑付和报账工作，接受上级检查验收。同时，提早动手做好项目资产确权移交和后期运维</w:t>
      </w:r>
      <w:r>
        <w:rPr>
          <w:rFonts w:hint="eastAsia" w:ascii="楷体" w:hAnsi="楷体" w:eastAsia="楷体" w:cs="楷体"/>
          <w:sz w:val="32"/>
          <w:szCs w:val="32"/>
        </w:rPr>
        <w:t>管理</w:t>
      </w:r>
      <w:r>
        <w:rPr>
          <w:rFonts w:hint="eastAsia" w:ascii="仿宋_GB2312" w:hAnsi="仿宋_GB2312" w:eastAsia="仿宋_GB2312" w:cs="仿宋_GB2312"/>
          <w:sz w:val="32"/>
          <w:szCs w:val="32"/>
        </w:rPr>
        <w:t>等工作。</w:t>
      </w:r>
    </w:p>
    <w:p>
      <w:pPr>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40" w:lineRule="exact"/>
        <w:ind w:firstLine="0" w:firstLineChars="0"/>
        <w:textAlignment w:val="auto"/>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540" w:lineRule="exact"/>
        <w:ind w:left="0" w:leftChars="0" w:firstLine="3520" w:firstLineChars="11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3520" w:firstLineChars="11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3520" w:firstLineChars="11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宝鸡市陈仓区农业</w:t>
      </w:r>
      <w:r>
        <w:rPr>
          <w:rFonts w:hint="eastAsia" w:ascii="仿宋" w:hAnsi="仿宋" w:eastAsia="仿宋" w:cs="仿宋"/>
          <w:sz w:val="32"/>
          <w:szCs w:val="32"/>
          <w:lang w:eastAsia="zh-CN"/>
        </w:rPr>
        <w:t>农村局</w:t>
      </w:r>
    </w:p>
    <w:p>
      <w:pPr>
        <w:keepNext w:val="0"/>
        <w:keepLines w:val="0"/>
        <w:pageBreakBefore w:val="0"/>
        <w:widowControl w:val="0"/>
        <w:kinsoku/>
        <w:wordWrap/>
        <w:overflowPunct/>
        <w:topLinePunct w:val="0"/>
        <w:autoSpaceDE/>
        <w:autoSpaceDN/>
        <w:bidi w:val="0"/>
        <w:adjustRightInd/>
        <w:snapToGrid w:val="0"/>
        <w:spacing w:line="540" w:lineRule="exact"/>
        <w:ind w:left="0" w:leftChars="0" w:firstLine="4160" w:firstLineChars="1300"/>
        <w:jc w:val="both"/>
        <w:textAlignment w:val="auto"/>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25日</w:t>
      </w:r>
    </w:p>
    <w:p>
      <w:pPr>
        <w:keepNext w:val="0"/>
        <w:keepLines w:val="0"/>
        <w:pageBreakBefore w:val="0"/>
        <w:widowControl w:val="0"/>
        <w:kinsoku/>
        <w:wordWrap/>
        <w:overflowPunct/>
        <w:topLinePunct w:val="0"/>
        <w:autoSpaceDE/>
        <w:autoSpaceDN/>
        <w:bidi w:val="0"/>
        <w:adjustRightInd/>
        <w:snapToGrid w:val="0"/>
        <w:spacing w:line="540" w:lineRule="exact"/>
        <w:ind w:firstLine="0" w:firstLineChars="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0" w:firstLineChars="0"/>
        <w:textAlignment w:val="auto"/>
        <w:rPr>
          <w:rFonts w:hint="eastAsia" w:ascii="仿宋" w:hAnsi="仿宋" w:eastAsia="仿宋" w:cs="仿宋"/>
          <w:sz w:val="32"/>
          <w:szCs w:val="32"/>
        </w:rPr>
      </w:pPr>
    </w:p>
    <w:p>
      <w:pPr>
        <w:snapToGrid w:val="0"/>
        <w:spacing w:line="240" w:lineRule="atLeast"/>
        <w:ind w:firstLine="0" w:firstLineChars="0"/>
        <w:rPr>
          <w:rFonts w:hint="eastAsia" w:ascii="仿宋" w:hAnsi="仿宋" w:eastAsia="仿宋" w:cs="仿宋"/>
          <w:sz w:val="32"/>
          <w:szCs w:val="32"/>
        </w:rPr>
      </w:pPr>
    </w:p>
    <w:p>
      <w:pPr>
        <w:snapToGrid w:val="0"/>
        <w:spacing w:line="240" w:lineRule="atLeast"/>
        <w:ind w:firstLine="0" w:firstLineChars="0"/>
        <w:rPr>
          <w:rFonts w:hint="eastAsia" w:ascii="仿宋" w:hAnsi="仿宋" w:eastAsia="仿宋" w:cs="仿宋"/>
          <w:sz w:val="32"/>
          <w:szCs w:val="32"/>
        </w:rPr>
      </w:pPr>
    </w:p>
    <w:p>
      <w:pPr>
        <w:snapToGrid w:val="0"/>
        <w:spacing w:line="240" w:lineRule="atLeast"/>
        <w:ind w:firstLine="0" w:firstLineChars="0"/>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3"/>
        <w:rPr>
          <w:rFonts w:hint="eastAsia"/>
        </w:rPr>
      </w:pPr>
    </w:p>
    <w:p>
      <w:pPr>
        <w:pBdr>
          <w:top w:val="single" w:color="auto" w:sz="6" w:space="1"/>
          <w:bottom w:val="single" w:color="auto" w:sz="6" w:space="1"/>
        </w:pBdr>
        <w:spacing w:line="440" w:lineRule="exact"/>
        <w:ind w:firstLine="140" w:firstLineChars="50"/>
        <w:rPr>
          <w:rFonts w:hint="eastAsia" w:ascii="仿宋" w:hAnsi="仿宋" w:eastAsia="仿宋"/>
          <w:sz w:val="28"/>
          <w:szCs w:val="28"/>
        </w:rPr>
      </w:pPr>
      <w:r>
        <w:rPr>
          <w:rFonts w:hint="eastAsia" w:ascii="仿宋" w:hAnsi="仿宋" w:eastAsia="仿宋"/>
          <w:sz w:val="28"/>
          <w:szCs w:val="28"/>
        </w:rPr>
        <w:t>抄</w:t>
      </w:r>
      <w:r>
        <w:rPr>
          <w:rFonts w:hint="eastAsia" w:ascii="仿宋" w:hAnsi="仿宋" w:eastAsia="仿宋"/>
          <w:sz w:val="28"/>
          <w:szCs w:val="28"/>
          <w:lang w:val="en-US" w:eastAsia="zh-CN"/>
        </w:rPr>
        <w:t xml:space="preserve"> </w:t>
      </w:r>
      <w:r>
        <w:rPr>
          <w:rFonts w:hint="eastAsia" w:ascii="仿宋" w:hAnsi="仿宋" w:eastAsia="仿宋"/>
          <w:sz w:val="28"/>
          <w:szCs w:val="28"/>
        </w:rPr>
        <w:t>送：</w:t>
      </w:r>
      <w:r>
        <w:rPr>
          <w:rFonts w:hint="eastAsia" w:ascii="仿宋" w:hAnsi="仿宋" w:eastAsia="仿宋"/>
          <w:sz w:val="28"/>
          <w:szCs w:val="28"/>
          <w:lang w:eastAsia="zh-CN"/>
        </w:rPr>
        <w:t>局各领导</w:t>
      </w:r>
      <w:r>
        <w:rPr>
          <w:rFonts w:hint="eastAsia" w:ascii="仿宋" w:hAnsi="仿宋" w:eastAsia="仿宋"/>
          <w:sz w:val="28"/>
          <w:szCs w:val="28"/>
        </w:rPr>
        <w:t>。</w:t>
      </w:r>
    </w:p>
    <w:p>
      <w:pPr>
        <w:pBdr>
          <w:bottom w:val="single" w:color="auto" w:sz="6" w:space="1"/>
          <w:between w:val="single" w:color="auto" w:sz="6" w:space="1"/>
        </w:pBdr>
        <w:spacing w:line="440" w:lineRule="exact"/>
        <w:ind w:firstLine="140" w:firstLineChars="50"/>
        <w:rPr>
          <w:rFonts w:hint="eastAsia" w:ascii="仿宋" w:hAnsi="仿宋" w:eastAsia="仿宋"/>
          <w:sz w:val="28"/>
          <w:szCs w:val="28"/>
          <w:lang w:val="zh-TW"/>
        </w:rPr>
      </w:pPr>
      <w:r>
        <w:rPr>
          <w:rFonts w:hint="eastAsia" w:ascii="仿宋" w:hAnsi="仿宋" w:eastAsia="仿宋"/>
          <w:sz w:val="28"/>
          <w:szCs w:val="28"/>
        </w:rPr>
        <w:t xml:space="preserve">宝鸡市陈仓区农业农村局                </w:t>
      </w:r>
      <w:r>
        <w:rPr>
          <w:rFonts w:hint="eastAsia" w:ascii="仿宋" w:hAnsi="仿宋" w:eastAsia="仿宋"/>
          <w:sz w:val="28"/>
          <w:szCs w:val="28"/>
          <w:lang w:val="en-US" w:eastAsia="zh-CN"/>
        </w:rPr>
        <w:t xml:space="preserve">    </w:t>
      </w:r>
      <w:r>
        <w:rPr>
          <w:rFonts w:hint="eastAsia" w:ascii="仿宋" w:hAnsi="仿宋" w:eastAsia="仿宋"/>
          <w:sz w:val="28"/>
          <w:szCs w:val="28"/>
        </w:rPr>
        <w:t>202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val="en-US" w:eastAsia="zh-CN"/>
        </w:rPr>
        <w:t>4</w:t>
      </w:r>
      <w:r>
        <w:rPr>
          <w:rFonts w:hint="eastAsia" w:ascii="仿宋" w:hAnsi="仿宋" w:eastAsia="仿宋"/>
          <w:sz w:val="28"/>
          <w:szCs w:val="28"/>
        </w:rPr>
        <w:t>月</w:t>
      </w:r>
      <w:r>
        <w:rPr>
          <w:rFonts w:hint="eastAsia" w:ascii="仿宋" w:hAnsi="仿宋" w:eastAsia="仿宋"/>
          <w:sz w:val="28"/>
          <w:szCs w:val="28"/>
          <w:lang w:val="en-US" w:eastAsia="zh-CN"/>
        </w:rPr>
        <w:t>25</w:t>
      </w:r>
      <w:r>
        <w:rPr>
          <w:rFonts w:hint="eastAsia" w:ascii="仿宋" w:hAnsi="仿宋" w:eastAsia="仿宋"/>
          <w:sz w:val="28"/>
          <w:szCs w:val="28"/>
        </w:rPr>
        <w:t>日印发</w:t>
      </w:r>
    </w:p>
    <w:sectPr>
      <w:footerReference r:id="rId5" w:type="default"/>
      <w:pgSz w:w="11906" w:h="16838"/>
      <w:pgMar w:top="1440" w:right="1406" w:bottom="1440" w:left="1689"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2A00C2"/>
    <w:multiLevelType w:val="singleLevel"/>
    <w:tmpl w:val="A82A00C2"/>
    <w:lvl w:ilvl="0" w:tentative="0">
      <w:start w:val="3"/>
      <w:numFmt w:val="chineseCounting"/>
      <w:suff w:val="nothing"/>
      <w:lvlText w:val="%1．"/>
      <w:lvlJc w:val="left"/>
      <w:rPr>
        <w:rFonts w:hint="eastAsia"/>
      </w:rPr>
    </w:lvl>
  </w:abstractNum>
  <w:abstractNum w:abstractNumId="1">
    <w:nsid w:val="294E4F41"/>
    <w:multiLevelType w:val="singleLevel"/>
    <w:tmpl w:val="294E4F41"/>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241EA"/>
    <w:rsid w:val="00BF0694"/>
    <w:rsid w:val="0116796C"/>
    <w:rsid w:val="013C1960"/>
    <w:rsid w:val="015964E2"/>
    <w:rsid w:val="016A71AA"/>
    <w:rsid w:val="01B7106F"/>
    <w:rsid w:val="02316EE1"/>
    <w:rsid w:val="025020A0"/>
    <w:rsid w:val="029E6726"/>
    <w:rsid w:val="041939F1"/>
    <w:rsid w:val="0490503A"/>
    <w:rsid w:val="04BA2E5A"/>
    <w:rsid w:val="04BF1E96"/>
    <w:rsid w:val="05466DC0"/>
    <w:rsid w:val="056412FD"/>
    <w:rsid w:val="05B9667F"/>
    <w:rsid w:val="072C3F89"/>
    <w:rsid w:val="07B36C00"/>
    <w:rsid w:val="089C056F"/>
    <w:rsid w:val="08E80F47"/>
    <w:rsid w:val="09560185"/>
    <w:rsid w:val="0A4D5D41"/>
    <w:rsid w:val="0A761095"/>
    <w:rsid w:val="0A8456C9"/>
    <w:rsid w:val="0B09139F"/>
    <w:rsid w:val="0B427524"/>
    <w:rsid w:val="0BD22140"/>
    <w:rsid w:val="0C1A1D10"/>
    <w:rsid w:val="0C2F2EAB"/>
    <w:rsid w:val="0D9151F5"/>
    <w:rsid w:val="0F0A795A"/>
    <w:rsid w:val="0F4C1B3F"/>
    <w:rsid w:val="108E7B1E"/>
    <w:rsid w:val="12E85031"/>
    <w:rsid w:val="14105307"/>
    <w:rsid w:val="14C555B5"/>
    <w:rsid w:val="16C775D8"/>
    <w:rsid w:val="17A938A3"/>
    <w:rsid w:val="1828475E"/>
    <w:rsid w:val="18585497"/>
    <w:rsid w:val="18620509"/>
    <w:rsid w:val="19730CD4"/>
    <w:rsid w:val="19815045"/>
    <w:rsid w:val="19E057E0"/>
    <w:rsid w:val="1ACD68AD"/>
    <w:rsid w:val="1C924776"/>
    <w:rsid w:val="1D30319E"/>
    <w:rsid w:val="1E3E4CA4"/>
    <w:rsid w:val="1F0C0750"/>
    <w:rsid w:val="1F2145E9"/>
    <w:rsid w:val="1F307B53"/>
    <w:rsid w:val="1FB51BA8"/>
    <w:rsid w:val="20406AE2"/>
    <w:rsid w:val="208E5716"/>
    <w:rsid w:val="20B935BA"/>
    <w:rsid w:val="20E47DFA"/>
    <w:rsid w:val="211C634F"/>
    <w:rsid w:val="212E3875"/>
    <w:rsid w:val="22C9321F"/>
    <w:rsid w:val="236B76D4"/>
    <w:rsid w:val="240F5891"/>
    <w:rsid w:val="24164F82"/>
    <w:rsid w:val="24543D5B"/>
    <w:rsid w:val="249F6004"/>
    <w:rsid w:val="24BA0273"/>
    <w:rsid w:val="24DE4884"/>
    <w:rsid w:val="27827809"/>
    <w:rsid w:val="2A8B5F4F"/>
    <w:rsid w:val="2BBB23A1"/>
    <w:rsid w:val="2D750C78"/>
    <w:rsid w:val="2DB15C04"/>
    <w:rsid w:val="2F920BC1"/>
    <w:rsid w:val="2FE87ACC"/>
    <w:rsid w:val="3002590A"/>
    <w:rsid w:val="30777429"/>
    <w:rsid w:val="30B87D98"/>
    <w:rsid w:val="31487804"/>
    <w:rsid w:val="31A2351D"/>
    <w:rsid w:val="32837FE3"/>
    <w:rsid w:val="32CC03D3"/>
    <w:rsid w:val="334D63D9"/>
    <w:rsid w:val="338318B1"/>
    <w:rsid w:val="34762254"/>
    <w:rsid w:val="36FE3E72"/>
    <w:rsid w:val="37773AD4"/>
    <w:rsid w:val="38A70309"/>
    <w:rsid w:val="38B67E28"/>
    <w:rsid w:val="39543BF7"/>
    <w:rsid w:val="397C7298"/>
    <w:rsid w:val="398B4DB2"/>
    <w:rsid w:val="399D78BD"/>
    <w:rsid w:val="3A984D80"/>
    <w:rsid w:val="3ABC2193"/>
    <w:rsid w:val="3B9341A1"/>
    <w:rsid w:val="3BED577A"/>
    <w:rsid w:val="3C0C04F5"/>
    <w:rsid w:val="3C232CD6"/>
    <w:rsid w:val="3C360CCB"/>
    <w:rsid w:val="3DAA1102"/>
    <w:rsid w:val="3E7A03FD"/>
    <w:rsid w:val="3EC34B32"/>
    <w:rsid w:val="3F8101D4"/>
    <w:rsid w:val="3FFF6DF7"/>
    <w:rsid w:val="40AE2759"/>
    <w:rsid w:val="41711E74"/>
    <w:rsid w:val="4281619E"/>
    <w:rsid w:val="43032E72"/>
    <w:rsid w:val="449A48D6"/>
    <w:rsid w:val="45544D4F"/>
    <w:rsid w:val="45B02A52"/>
    <w:rsid w:val="46EC0B90"/>
    <w:rsid w:val="47020A9C"/>
    <w:rsid w:val="474811FD"/>
    <w:rsid w:val="4CF60FAF"/>
    <w:rsid w:val="4CFA148B"/>
    <w:rsid w:val="4D4F4BC7"/>
    <w:rsid w:val="4E061E84"/>
    <w:rsid w:val="4E497EF3"/>
    <w:rsid w:val="4F0536C5"/>
    <w:rsid w:val="4FAB13F1"/>
    <w:rsid w:val="50E03B09"/>
    <w:rsid w:val="52082081"/>
    <w:rsid w:val="5304527E"/>
    <w:rsid w:val="53FA0CD7"/>
    <w:rsid w:val="53FF792B"/>
    <w:rsid w:val="5493297A"/>
    <w:rsid w:val="5523404F"/>
    <w:rsid w:val="56037061"/>
    <w:rsid w:val="566A6423"/>
    <w:rsid w:val="56C12221"/>
    <w:rsid w:val="57932598"/>
    <w:rsid w:val="59561EA9"/>
    <w:rsid w:val="5A98175F"/>
    <w:rsid w:val="5AB5170A"/>
    <w:rsid w:val="5BCA4C2E"/>
    <w:rsid w:val="5BFD191D"/>
    <w:rsid w:val="5CAD7D03"/>
    <w:rsid w:val="5DD96821"/>
    <w:rsid w:val="5DDE09B4"/>
    <w:rsid w:val="60240C73"/>
    <w:rsid w:val="61096C1C"/>
    <w:rsid w:val="61784244"/>
    <w:rsid w:val="62226B6A"/>
    <w:rsid w:val="626635D7"/>
    <w:rsid w:val="628037E0"/>
    <w:rsid w:val="642632E3"/>
    <w:rsid w:val="646C0698"/>
    <w:rsid w:val="64FE654E"/>
    <w:rsid w:val="65003948"/>
    <w:rsid w:val="664868AE"/>
    <w:rsid w:val="667378A1"/>
    <w:rsid w:val="667C054B"/>
    <w:rsid w:val="66F57B61"/>
    <w:rsid w:val="6828620B"/>
    <w:rsid w:val="689D3FF3"/>
    <w:rsid w:val="69031739"/>
    <w:rsid w:val="69615E07"/>
    <w:rsid w:val="697932C0"/>
    <w:rsid w:val="6A4953AB"/>
    <w:rsid w:val="6B0D09C4"/>
    <w:rsid w:val="6B1A10E9"/>
    <w:rsid w:val="6B4950AE"/>
    <w:rsid w:val="6B966854"/>
    <w:rsid w:val="6BB46DCF"/>
    <w:rsid w:val="6BC73650"/>
    <w:rsid w:val="6C37445E"/>
    <w:rsid w:val="6C8926E3"/>
    <w:rsid w:val="6D2D6E54"/>
    <w:rsid w:val="6DF908E0"/>
    <w:rsid w:val="6E26044F"/>
    <w:rsid w:val="6E945EF0"/>
    <w:rsid w:val="6EE17098"/>
    <w:rsid w:val="6F1F2DDC"/>
    <w:rsid w:val="70860607"/>
    <w:rsid w:val="71B3797D"/>
    <w:rsid w:val="727B0FCD"/>
    <w:rsid w:val="73B76A91"/>
    <w:rsid w:val="74D97A75"/>
    <w:rsid w:val="762E49EE"/>
    <w:rsid w:val="76483813"/>
    <w:rsid w:val="76682BC7"/>
    <w:rsid w:val="76C2531B"/>
    <w:rsid w:val="777330F0"/>
    <w:rsid w:val="78541DAE"/>
    <w:rsid w:val="79BA420C"/>
    <w:rsid w:val="79CD3869"/>
    <w:rsid w:val="7A2C01C1"/>
    <w:rsid w:val="7A703437"/>
    <w:rsid w:val="7AA04DB2"/>
    <w:rsid w:val="7B966EF0"/>
    <w:rsid w:val="7C3517A4"/>
    <w:rsid w:val="7CBB698C"/>
    <w:rsid w:val="7D0E6CF9"/>
    <w:rsid w:val="7DC27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No Spacing"/>
    <w:qFormat/>
    <w:uiPriority w:val="0"/>
    <w:pPr>
      <w:widowControl w:val="0"/>
      <w:jc w:val="both"/>
    </w:pPr>
    <w:rPr>
      <w:rFonts w:ascii="Calibri" w:hAnsi="Calibri" w:eastAsia="宋体" w:cs="Times New Roman"/>
      <w:kern w:val="2"/>
      <w:sz w:val="21"/>
      <w:szCs w:val="22"/>
      <w:lang w:val="en-US" w:eastAsia="zh-CN" w:bidi="ar-SA"/>
    </w:rPr>
  </w:style>
  <w:style w:type="paragraph" w:styleId="3">
    <w:name w:val="Body Text"/>
    <w:basedOn w:val="1"/>
    <w:qFormat/>
    <w:uiPriority w:val="0"/>
    <w:pPr>
      <w:spacing w:line="560" w:lineRule="exact"/>
      <w:jc w:val="center"/>
    </w:pPr>
    <w:rPr>
      <w:rFonts w:ascii="方正小标宋简体" w:hAnsi="华文中宋" w:eastAsia="方正小标宋简体"/>
      <w:b/>
      <w:sz w:val="44"/>
      <w:szCs w:val="4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缩进1"/>
    <w:basedOn w:val="1"/>
    <w:qFormat/>
    <w:uiPriority w:val="99"/>
    <w:pPr>
      <w:ind w:firstLine="420" w:firstLineChars="200"/>
    </w:pPr>
  </w:style>
  <w:style w:type="character" w:customStyle="1" w:styleId="10">
    <w:name w:val="font21"/>
    <w:basedOn w:val="8"/>
    <w:qFormat/>
    <w:uiPriority w:val="0"/>
    <w:rPr>
      <w:rFonts w:hint="eastAsia" w:ascii="宋体" w:hAnsi="宋体" w:eastAsia="宋体" w:cs="宋体"/>
      <w:color w:val="000000"/>
      <w:sz w:val="22"/>
      <w:szCs w:val="22"/>
      <w:u w:val="none"/>
    </w:rPr>
  </w:style>
  <w:style w:type="character" w:customStyle="1" w:styleId="11">
    <w:name w:val="font31"/>
    <w:basedOn w:val="8"/>
    <w:qFormat/>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1344</Words>
  <Characters>1686</Characters>
  <Lines>0</Lines>
  <Paragraphs>0</Paragraphs>
  <TotalTime>43</TotalTime>
  <ScaleCrop>false</ScaleCrop>
  <LinksUpToDate>false</LinksUpToDate>
  <CharactersWithSpaces>1731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2022-04-25T09:36:30Z</cp:lastPrinted>
  <dcterms:modified xsi:type="dcterms:W3CDTF">2022-04-25T09:36:45Z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FCB05AD44D384154892198C841974FB6</vt:lpwstr>
  </property>
</Properties>
</file>